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07B2A675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</w:t>
            </w:r>
            <w:r w:rsidRPr="00F54E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niższy niż </w:t>
            </w:r>
            <w:r w:rsidR="00F54E63" w:rsidRPr="00F54E63">
              <w:rPr>
                <w:rStyle w:val="Pogrubienie"/>
                <w:sz w:val="24"/>
                <w:szCs w:val="24"/>
              </w:rPr>
              <w:t>1 16</w:t>
            </w:r>
            <w:r w:rsidR="0056456D">
              <w:rPr>
                <w:rStyle w:val="Pogrubienie"/>
                <w:sz w:val="24"/>
                <w:szCs w:val="24"/>
              </w:rPr>
              <w:t>4</w:t>
            </w:r>
            <w:r w:rsidR="00F54E63" w:rsidRPr="00F54E63">
              <w:rPr>
                <w:rStyle w:val="Pogrubienie"/>
                <w:sz w:val="24"/>
                <w:szCs w:val="24"/>
              </w:rPr>
              <w:t>,00</w:t>
            </w:r>
            <w:r w:rsidRPr="00F54E6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(dla osoby samotnie gospodarującej) oraz </w:t>
            </w:r>
            <w:r w:rsidR="00F54E6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9</w:t>
            </w:r>
            <w:r w:rsidR="00F54E63">
              <w:rPr>
                <w:rStyle w:val="Pogrubienie"/>
                <w:rFonts w:cstheme="minorHAnsi"/>
                <w:sz w:val="24"/>
                <w:szCs w:val="24"/>
              </w:rPr>
              <w:t>00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3E044814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9373BA" w:rsidRPr="009373BA">
              <w:rPr>
                <w:rFonts w:cs="Calibri"/>
                <w:b/>
                <w:i/>
                <w:iCs/>
                <w:sz w:val="24"/>
                <w:szCs w:val="24"/>
              </w:rPr>
              <w:t>Gminny Ośrodek Pomocy Społecznej w Nowej Wsi Wielkiej ul. Ogrodowa 2A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47A75001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373BA" w:rsidRPr="009373BA">
              <w:rPr>
                <w:rFonts w:cs="Calibri"/>
                <w:i/>
                <w:iCs/>
                <w:sz w:val="24"/>
                <w:szCs w:val="24"/>
              </w:rPr>
              <w:t>Gminny Ośrodek Pomocy Społecznej w Nowej Wsi Wielkiej ul. Ogrodowa 2A.</w:t>
            </w:r>
          </w:p>
          <w:p w14:paraId="550A86E4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81AD" w14:textId="77777777" w:rsidR="00CD066D" w:rsidRDefault="00CD066D" w:rsidP="004136E0">
      <w:pPr>
        <w:spacing w:after="0" w:line="240" w:lineRule="auto"/>
      </w:pPr>
      <w:r>
        <w:separator/>
      </w:r>
    </w:p>
  </w:endnote>
  <w:endnote w:type="continuationSeparator" w:id="0">
    <w:p w14:paraId="097F9D91" w14:textId="77777777" w:rsidR="00CD066D" w:rsidRDefault="00CD066D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</w:t>
      </w:r>
      <w:proofErr w:type="spellStart"/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Barthel</w:t>
      </w:r>
      <w:proofErr w:type="spellEnd"/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249242"/>
      <w:docPartObj>
        <w:docPartGallery w:val="Page Numbers (Bottom of Page)"/>
        <w:docPartUnique/>
      </w:docPartObj>
    </w:sdtPr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1D54" w14:textId="77777777" w:rsidR="00CD066D" w:rsidRDefault="00CD066D" w:rsidP="004136E0">
      <w:pPr>
        <w:spacing w:after="0" w:line="240" w:lineRule="auto"/>
      </w:pPr>
      <w:r>
        <w:separator/>
      </w:r>
    </w:p>
  </w:footnote>
  <w:footnote w:type="continuationSeparator" w:id="0">
    <w:p w14:paraId="3432DD34" w14:textId="77777777" w:rsidR="00CD066D" w:rsidRDefault="00CD066D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803952">
    <w:abstractNumId w:val="0"/>
  </w:num>
  <w:num w:numId="2" w16cid:durableId="2050064206">
    <w:abstractNumId w:val="2"/>
  </w:num>
  <w:num w:numId="3" w16cid:durableId="960693820">
    <w:abstractNumId w:val="3"/>
  </w:num>
  <w:num w:numId="4" w16cid:durableId="1248686013">
    <w:abstractNumId w:val="5"/>
  </w:num>
  <w:num w:numId="5" w16cid:durableId="613751215">
    <w:abstractNumId w:val="1"/>
  </w:num>
  <w:num w:numId="6" w16cid:durableId="88463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92862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6456D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373BA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066D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61A26"/>
    <w:rsid w:val="00EA65D1"/>
    <w:rsid w:val="00EC1F44"/>
    <w:rsid w:val="00F10DAD"/>
    <w:rsid w:val="00F230A7"/>
    <w:rsid w:val="00F523F7"/>
    <w:rsid w:val="00F54E63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Dorota Lisiak</cp:lastModifiedBy>
  <cp:revision>3</cp:revision>
  <cp:lastPrinted>2022-07-20T06:11:00Z</cp:lastPrinted>
  <dcterms:created xsi:type="dcterms:W3CDTF">2022-07-20T06:14:00Z</dcterms:created>
  <dcterms:modified xsi:type="dcterms:W3CDTF">2022-07-20T06:14:00Z</dcterms:modified>
</cp:coreProperties>
</file>